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7C2940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1130EF" w:rsidRDefault="007C2940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«20» декабря</w:t>
      </w:r>
      <w:r w:rsidR="00F7504A" w:rsidRPr="001130EF">
        <w:rPr>
          <w:rFonts w:cs="Arial"/>
          <w:color w:val="000000" w:themeColor="text1"/>
        </w:rPr>
        <w:t xml:space="preserve"> 2023 г.</w:t>
      </w:r>
      <w:r w:rsidR="001130EF" w:rsidRPr="001130E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74</w:t>
      </w:r>
    </w:p>
    <w:p w:rsidR="00F7504A" w:rsidRPr="001130EF" w:rsidRDefault="007C2940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Титаревско</w:t>
      </w:r>
      <w:r w:rsidR="009B44D5">
        <w:rPr>
          <w:b w:val="0"/>
          <w:color w:val="000000" w:themeColor="text1"/>
          <w:sz w:val="24"/>
          <w:szCs w:val="24"/>
        </w:rPr>
        <w:t>е</w:t>
      </w:r>
      <w:bookmarkStart w:id="0" w:name="_GoBack"/>
      <w:bookmarkEnd w:id="0"/>
      <w:r>
        <w:rPr>
          <w:b w:val="0"/>
          <w:color w:val="000000" w:themeColor="text1"/>
          <w:sz w:val="24"/>
          <w:szCs w:val="24"/>
        </w:rPr>
        <w:t xml:space="preserve"> </w:t>
      </w:r>
      <w:r w:rsidR="003F02AC" w:rsidRPr="001130EF">
        <w:rPr>
          <w:b w:val="0"/>
          <w:color w:val="000000" w:themeColor="text1"/>
          <w:sz w:val="24"/>
          <w:szCs w:val="24"/>
        </w:rPr>
        <w:t>сельское поселение</w:t>
      </w:r>
    </w:p>
    <w:p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EC34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56251A" w:rsidRPr="001130EF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56251A" w:rsidRPr="001130EF">
        <w:rPr>
          <w:b w:val="0"/>
          <w:color w:val="000000" w:themeColor="text1"/>
          <w:sz w:val="24"/>
          <w:szCs w:val="24"/>
        </w:rPr>
        <w:t xml:space="preserve"> размещения вывески</w:t>
      </w:r>
      <w:r w:rsidRPr="001130E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7C2940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1130EF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265415"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7C294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7C294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C3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7C2940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1130EF" w:rsidRPr="001130EF" w:rsidTr="0036618F">
        <w:tc>
          <w:tcPr>
            <w:tcW w:w="3214" w:type="dxa"/>
            <w:shd w:val="clear" w:color="auto" w:fill="auto"/>
          </w:tcPr>
          <w:p w:rsidR="004F74FD" w:rsidRPr="001130EF" w:rsidRDefault="004F74FD" w:rsidP="007C2940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7C2940">
              <w:rPr>
                <w:rFonts w:eastAsia="Calibri" w:cs="Arial"/>
                <w:color w:val="000000" w:themeColor="text1"/>
                <w:lang w:eastAsia="en-US"/>
              </w:rPr>
              <w:t xml:space="preserve">Титаревского 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4F74FD" w:rsidRPr="001130EF" w:rsidRDefault="007C2940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Радченко Г.В.</w:t>
            </w:r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7C2940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r w:rsidR="007C2940">
        <w:rPr>
          <w:rFonts w:cs="Arial"/>
          <w:color w:val="000000" w:themeColor="text1"/>
        </w:rPr>
        <w:t xml:space="preserve">Титаревского </w:t>
      </w:r>
      <w:r w:rsidRPr="001130EF">
        <w:rPr>
          <w:rFonts w:cs="Arial"/>
          <w:color w:val="000000" w:themeColor="text1"/>
        </w:rPr>
        <w:t>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</w:p>
    <w:p w:rsidR="00F7504A" w:rsidRPr="001130EF" w:rsidRDefault="007C2940" w:rsidP="000A50AD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«20» декабря </w:t>
      </w:r>
      <w:r w:rsidR="00F7504A" w:rsidRPr="001130EF">
        <w:rPr>
          <w:rFonts w:cs="Arial"/>
          <w:color w:val="000000" w:themeColor="text1"/>
        </w:rPr>
        <w:t>2023</w:t>
      </w:r>
      <w:r w:rsidR="00582FEE" w:rsidRPr="001130EF">
        <w:rPr>
          <w:rFonts w:cs="Arial"/>
          <w:color w:val="000000" w:themeColor="text1"/>
        </w:rPr>
        <w:t xml:space="preserve"> г.</w:t>
      </w:r>
      <w:r>
        <w:rPr>
          <w:rFonts w:cs="Arial"/>
          <w:color w:val="000000" w:themeColor="text1"/>
        </w:rPr>
        <w:t xml:space="preserve"> № 74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r w:rsidR="002453F9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Титаревского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2453F9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(http</w:t>
      </w:r>
      <w:r w:rsidRPr="002453F9">
        <w:rPr>
          <w:rFonts w:ascii="Arial" w:hAnsi="Arial" w:cs="Arial"/>
          <w:color w:val="000000" w:themeColor="text1"/>
          <w:sz w:val="24"/>
          <w:szCs w:val="24"/>
        </w:rPr>
        <w:t>://</w:t>
      </w:r>
      <w:r w:rsidR="002453F9" w:rsidRPr="002453F9">
        <w:rPr>
          <w:rFonts w:ascii="Arial" w:hAnsi="Arial" w:cs="Arial"/>
          <w:color w:val="000000" w:themeColor="text1"/>
          <w:sz w:val="24"/>
          <w:szCs w:val="24"/>
        </w:rPr>
        <w:t>titarevskoe-r20.gosweb.gosuslugi.ru/</w:t>
      </w:r>
      <w:r w:rsidRPr="002453F9">
        <w:rPr>
          <w:rFonts w:ascii="Arial" w:hAnsi="Arial" w:cs="Arial"/>
          <w:color w:val="000000" w:themeColor="text1"/>
          <w:sz w:val="24"/>
          <w:szCs w:val="24"/>
        </w:rPr>
        <w:t>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</w:t>
      </w:r>
      <w:proofErr w:type="gramEnd"/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. </w:t>
      </w:r>
      <w:proofErr w:type="gramStart"/>
      <w:r w:rsidRPr="001130EF">
        <w:rPr>
          <w:rFonts w:cs="Arial"/>
          <w:color w:val="000000" w:themeColor="text1"/>
        </w:rPr>
        <w:t>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1130EF">
        <w:rPr>
          <w:rFonts w:cs="Arial"/>
          <w:color w:val="000000" w:themeColor="text1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1130EF">
        <w:rPr>
          <w:rFonts w:cs="Arial"/>
          <w:color w:val="000000" w:themeColor="text1"/>
        </w:rPr>
        <w:t xml:space="preserve"> </w:t>
      </w:r>
      <w:proofErr w:type="gramStart"/>
      <w:r w:rsidR="00F7504A" w:rsidRPr="001130EF">
        <w:rPr>
          <w:rFonts w:cs="Arial"/>
          <w:color w:val="000000" w:themeColor="text1"/>
        </w:rPr>
        <w:t xml:space="preserve">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r w:rsidR="002453F9">
        <w:rPr>
          <w:rFonts w:cs="Arial"/>
          <w:color w:val="000000" w:themeColor="text1"/>
        </w:rPr>
        <w:t xml:space="preserve">Титаревского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2453F9">
        <w:rPr>
          <w:rFonts w:cs="Arial"/>
          <w:color w:val="000000" w:themeColor="text1"/>
        </w:rPr>
        <w:t xml:space="preserve">Титаревского </w:t>
      </w:r>
      <w:r w:rsidR="00DE1E3A" w:rsidRPr="001130EF">
        <w:rPr>
          <w:rFonts w:cs="Arial"/>
          <w:color w:val="000000" w:themeColor="text1"/>
        </w:rPr>
        <w:t>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  <w:proofErr w:type="gramEnd"/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1130EF">
        <w:rPr>
          <w:rFonts w:cs="Arial"/>
          <w:color w:val="000000" w:themeColor="text1"/>
        </w:rPr>
        <w:t>с</w:t>
      </w:r>
      <w:proofErr w:type="gramEnd"/>
      <w:r w:rsidR="00F7504A" w:rsidRPr="001130EF">
        <w:rPr>
          <w:rFonts w:cs="Arial"/>
          <w:color w:val="000000" w:themeColor="text1"/>
        </w:rPr>
        <w:t>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</w:t>
      </w:r>
      <w:proofErr w:type="gramStart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proofErr w:type="gramStart"/>
      <w:r w:rsidRPr="001130EF">
        <w:rPr>
          <w:rFonts w:eastAsia="SimSun" w:cs="Arial"/>
          <w:color w:val="000000" w:themeColor="text1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1130EF">
        <w:rPr>
          <w:rFonts w:eastAsia="SimSun" w:cs="Arial"/>
          <w:color w:val="000000" w:themeColor="text1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</w:t>
      </w:r>
      <w:r w:rsidRPr="001130EF">
        <w:rPr>
          <w:rFonts w:eastAsia="SimSun" w:cs="Arial"/>
          <w:color w:val="000000" w:themeColor="text1"/>
        </w:rPr>
        <w:lastRenderedPageBreak/>
        <w:t>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</w:t>
      </w:r>
      <w:proofErr w:type="spellStart"/>
      <w:proofErr w:type="gramStart"/>
      <w:r w:rsidRPr="001130EF">
        <w:rPr>
          <w:rFonts w:eastAsia="SimSun" w:cs="Arial"/>
          <w:color w:val="000000" w:themeColor="text1"/>
        </w:rPr>
        <w:t>пр</w:t>
      </w:r>
      <w:proofErr w:type="spellEnd"/>
      <w:proofErr w:type="gramEnd"/>
      <w:r w:rsidRPr="001130EF">
        <w:rPr>
          <w:rFonts w:eastAsia="SimSun" w:cs="Arial"/>
          <w:color w:val="000000" w:themeColor="text1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2453F9" w:rsidRPr="00F765CF">
        <w:rPr>
          <w:rFonts w:ascii="Arial" w:hAnsi="Arial" w:cs="Arial"/>
          <w:color w:val="000000" w:themeColor="text1"/>
          <w:sz w:val="24"/>
          <w:szCs w:val="24"/>
        </w:rPr>
        <w:t>titarevskoe-r20.gosweb.gosuslugi.ru/deyatelnost/napravleniya-deyatelnosti/munitsipalnye-uslugi/administrativnye-reglamenty-po-munitsipalnym-uslugam/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2D2D23" w:rsidRPr="001130EF">
        <w:rPr>
          <w:rFonts w:eastAsiaTheme="minorHAnsi" w:cs="Arial"/>
          <w:color w:val="000000" w:themeColor="text1"/>
        </w:rPr>
        <w:t xml:space="preserve"> </w:t>
      </w:r>
      <w:r w:rsidR="002453F9">
        <w:rPr>
          <w:rFonts w:eastAsiaTheme="minorHAnsi" w:cs="Arial"/>
          <w:color w:val="000000" w:themeColor="text1"/>
        </w:rPr>
        <w:t xml:space="preserve">Титаревского </w:t>
      </w:r>
      <w:r w:rsidR="002D2D23" w:rsidRPr="001130EF">
        <w:rPr>
          <w:rFonts w:eastAsiaTheme="minorHAnsi" w:cs="Arial"/>
          <w:color w:val="000000" w:themeColor="text1"/>
        </w:rPr>
        <w:t>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указанный в дизайн –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проекте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вывески;</w:t>
      </w:r>
    </w:p>
    <w:p w:rsidR="00F2141A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proofErr w:type="gramStart"/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держания информационных вывесок, предусмотренных </w:t>
      </w:r>
      <w:r w:rsidR="002453F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нормами и 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правилами благоустройства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r w:rsidR="002453F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Титаревского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решением Совета народных депутатов </w:t>
      </w:r>
      <w:r w:rsidR="002453F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Титаревского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2453F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67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453F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от 20.04.2012 г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  <w:proofErr w:type="gramEnd"/>
    </w:p>
    <w:p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  <w:proofErr w:type="gramEnd"/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gramStart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в) 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1130EF">
        <w:rPr>
          <w:rFonts w:cs="Arial"/>
          <w:color w:val="000000" w:themeColor="text1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</w:t>
      </w:r>
      <w:proofErr w:type="gramStart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130EF">
        <w:rPr>
          <w:rFonts w:eastAsiaTheme="minorHAnsi" w:cs="Arial"/>
          <w:color w:val="000000" w:themeColor="text1"/>
        </w:rPr>
        <w:t>предоставлением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</w:t>
      </w:r>
      <w:proofErr w:type="gramStart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3E78EC" w:rsidRPr="001130EF">
        <w:rPr>
          <w:rFonts w:cs="Arial"/>
          <w:color w:val="000000" w:themeColor="text1"/>
        </w:rPr>
        <w:t>дизайн-проекта</w:t>
      </w:r>
      <w:proofErr w:type="gramEnd"/>
      <w:r w:rsidR="003E78EC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30EF">
        <w:rPr>
          <w:rFonts w:cs="Arial"/>
          <w:color w:val="000000" w:themeColor="text1"/>
        </w:rPr>
        <w:t>также</w:t>
      </w:r>
      <w:proofErr w:type="gramEnd"/>
      <w:r w:rsidRPr="001130EF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130EF">
        <w:rPr>
          <w:rFonts w:cs="Arial"/>
          <w:color w:val="000000" w:themeColor="text1"/>
        </w:rPr>
        <w:t>таких</w:t>
      </w:r>
      <w:proofErr w:type="gramEnd"/>
      <w:r w:rsidRPr="001130EF">
        <w:rPr>
          <w:rFonts w:cs="Arial"/>
          <w:color w:val="000000" w:themeColor="text1"/>
        </w:rPr>
        <w:t xml:space="preserve">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8A2F9D" w:rsidRPr="001130EF">
        <w:rPr>
          <w:rFonts w:cs="Arial"/>
          <w:color w:val="000000" w:themeColor="text1"/>
        </w:rPr>
        <w:t>дизайн-проекта</w:t>
      </w:r>
      <w:proofErr w:type="gramEnd"/>
      <w:r w:rsidR="008A2F9D" w:rsidRPr="001130EF">
        <w:rPr>
          <w:rFonts w:cs="Arial"/>
          <w:color w:val="000000" w:themeColor="text1"/>
        </w:rPr>
        <w:t xml:space="preserve">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cs="Arial"/>
          <w:color w:val="000000" w:themeColor="text1"/>
        </w:rPr>
        <w:t>дизайн-проекта</w:t>
      </w:r>
      <w:proofErr w:type="gramEnd"/>
      <w:r w:rsidR="00145B9D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 xml:space="preserve">передается на </w:t>
      </w:r>
      <w:r w:rsidRPr="001130EF">
        <w:rPr>
          <w:rFonts w:cs="Arial"/>
          <w:color w:val="000000" w:themeColor="text1"/>
        </w:rPr>
        <w:lastRenderedPageBreak/>
        <w:t xml:space="preserve">подписание главе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r w:rsidR="002453F9">
        <w:rPr>
          <w:rFonts w:cs="Arial"/>
          <w:color w:val="000000" w:themeColor="text1"/>
        </w:rPr>
        <w:t xml:space="preserve">Титаревского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</w:rPr>
        <w:t xml:space="preserve">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gramStart"/>
      <w:r w:rsidRPr="001130EF">
        <w:rPr>
          <w:rFonts w:eastAsiaTheme="minorEastAsia" w:cs="Arial"/>
          <w:color w:val="000000" w:themeColor="text1"/>
        </w:rPr>
        <w:t>дизайн-проекта</w:t>
      </w:r>
      <w:proofErr w:type="gramEnd"/>
      <w:r w:rsidRPr="001130EF">
        <w:rPr>
          <w:rFonts w:eastAsiaTheme="minorEastAsia" w:cs="Arial"/>
          <w:color w:val="000000" w:themeColor="text1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proofErr w:type="gramEnd"/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1130EF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30EF">
        <w:rPr>
          <w:rFonts w:cs="Arial"/>
          <w:color w:val="000000" w:themeColor="text1"/>
        </w:rPr>
        <w:t xml:space="preserve">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453F9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proofErr w:type="gramStart"/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</w:t>
      </w:r>
      <w:proofErr w:type="gramStart"/>
      <w:r w:rsidRPr="001130EF">
        <w:rPr>
          <w:rFonts w:cs="Arial"/>
          <w:color w:val="000000" w:themeColor="text1"/>
        </w:rPr>
        <w:t>жалобой</w:t>
      </w:r>
      <w:proofErr w:type="gramEnd"/>
      <w:r w:rsidRPr="001130EF">
        <w:rPr>
          <w:rFonts w:cs="Arial"/>
          <w:color w:val="000000" w:themeColor="text1"/>
        </w:rPr>
        <w:t xml:space="preserve">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A558E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1130EF">
        <w:rPr>
          <w:rFonts w:cs="Arial"/>
          <w:color w:val="000000" w:themeColor="text1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5374BC" w:rsidRPr="001130EF">
        <w:rPr>
          <w:rFonts w:cs="Arial"/>
          <w:color w:val="000000" w:themeColor="text1"/>
        </w:rPr>
        <w:t xml:space="preserve"> </w:t>
      </w:r>
      <w:r w:rsidR="002453F9">
        <w:rPr>
          <w:rFonts w:cs="Arial"/>
          <w:color w:val="000000" w:themeColor="text1"/>
        </w:rPr>
        <w:t xml:space="preserve">Титаревского </w:t>
      </w:r>
      <w:r w:rsidR="005374BC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</w:t>
      </w:r>
      <w:proofErr w:type="gramStart"/>
      <w:r w:rsidRPr="001130EF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130EF">
        <w:rPr>
          <w:rFonts w:cs="Arial"/>
          <w:color w:val="000000" w:themeColor="text1"/>
        </w:rPr>
        <w:t xml:space="preserve">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30EF">
        <w:rPr>
          <w:rFonts w:cs="Arial"/>
          <w:color w:val="000000" w:themeColor="text1"/>
        </w:rPr>
        <w:t>неудобства</w:t>
      </w:r>
      <w:proofErr w:type="gramEnd"/>
      <w:r w:rsidRPr="001130EF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1130EF">
        <w:rPr>
          <w:rFonts w:cs="Arial"/>
          <w:color w:val="000000" w:themeColor="text1"/>
        </w:rPr>
        <w:t>жалобы</w:t>
      </w:r>
      <w:proofErr w:type="gramEnd"/>
      <w:r w:rsidRPr="001130EF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</w:t>
      </w:r>
      <w:proofErr w:type="gramStart"/>
      <w:r w:rsidRPr="001130EF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1130EF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>нужное</w:t>
            </w:r>
            <w:proofErr w:type="gramEnd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A71615" w:rsidRPr="001130EF" w:rsidSect="001130EF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4C" w:rsidRDefault="001B364C" w:rsidP="009476CE">
      <w:r>
        <w:separator/>
      </w:r>
    </w:p>
  </w:endnote>
  <w:endnote w:type="continuationSeparator" w:id="0">
    <w:p w:rsidR="001B364C" w:rsidRDefault="001B364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4C" w:rsidRDefault="001B364C" w:rsidP="009476CE">
      <w:r>
        <w:separator/>
      </w:r>
    </w:p>
  </w:footnote>
  <w:footnote w:type="continuationSeparator" w:id="0">
    <w:p w:rsidR="001B364C" w:rsidRDefault="001B364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4E" w:rsidRDefault="00CB214E">
    <w:pPr>
      <w:pStyle w:val="a9"/>
      <w:jc w:val="center"/>
    </w:pPr>
  </w:p>
  <w:p w:rsidR="00CB214E" w:rsidRDefault="00CB21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364C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53F9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6C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1FE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C2940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0654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4D5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529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0188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263E-F2E7-467B-B880-1B8C41AD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14062</Words>
  <Characters>80158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5</cp:revision>
  <cp:lastPrinted>2023-07-18T09:53:00Z</cp:lastPrinted>
  <dcterms:created xsi:type="dcterms:W3CDTF">2023-12-25T10:40:00Z</dcterms:created>
  <dcterms:modified xsi:type="dcterms:W3CDTF">2024-01-17T11:20:00Z</dcterms:modified>
</cp:coreProperties>
</file>