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133E77" w:rsidRPr="00391AD6" w:rsidRDefault="00B4121D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33E77"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ПОСТАНОВЛЕНИЕ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074880">
        <w:rPr>
          <w:rFonts w:ascii="Arial" w:hAnsi="Arial" w:cs="Arial"/>
          <w:color w:val="000000" w:themeColor="text1"/>
          <w:sz w:val="24"/>
          <w:szCs w:val="24"/>
        </w:rPr>
        <w:t xml:space="preserve">16.06.2023 г.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002338">
        <w:rPr>
          <w:rFonts w:ascii="Arial" w:hAnsi="Arial" w:cs="Arial"/>
          <w:color w:val="000000" w:themeColor="text1"/>
          <w:sz w:val="24"/>
          <w:szCs w:val="24"/>
        </w:rPr>
        <w:t>22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002338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Порядка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 муниципальных учреждений </w:t>
      </w:r>
      <w:r w:rsidR="0000233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12.01.1996 № 7-ФЗ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«О некоммерческих организациях», со статьей 2 Федерального закона от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03.11.2006 № 174-ФЗ «Об автономных учреждениях», информацией прокуратуры Кантемировского района от 31.05.2023 № 2-12-2022, администрация </w:t>
      </w:r>
      <w:r w:rsidR="00002338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ПОСТАНОВЛЯЕТ: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1. Утвердить Порядок осуществления </w:t>
      </w:r>
      <w:proofErr w:type="gramStart"/>
      <w:r w:rsidRPr="00391AD6">
        <w:rPr>
          <w:rFonts w:ascii="Arial" w:hAnsi="Arial" w:cs="Arial"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color w:val="000000" w:themeColor="text1"/>
          <w:sz w:val="24"/>
          <w:szCs w:val="24"/>
        </w:rPr>
        <w:t xml:space="preserve"> деятельностью</w:t>
      </w:r>
      <w:r w:rsidR="008674E1" w:rsidRPr="008674E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муниципальных учреждений</w:t>
      </w:r>
      <w:r w:rsidR="00002338">
        <w:rPr>
          <w:rFonts w:ascii="Arial" w:hAnsi="Arial" w:cs="Arial"/>
          <w:color w:val="000000" w:themeColor="text1"/>
          <w:sz w:val="24"/>
          <w:szCs w:val="24"/>
        </w:rPr>
        <w:t xml:space="preserve"> Титаревского </w:t>
      </w:r>
      <w:r w:rsidRPr="00391AD6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Default="00CB5FF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выполнением настоящего постановления оставляю</w:t>
      </w:r>
      <w:r w:rsidR="008674E1" w:rsidRPr="008674E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133E77" w:rsidRPr="00391AD6">
        <w:rPr>
          <w:rFonts w:ascii="Arial" w:hAnsi="Arial" w:cs="Arial"/>
          <w:iCs/>
          <w:color w:val="000000" w:themeColor="text1"/>
          <w:sz w:val="24"/>
          <w:szCs w:val="24"/>
        </w:rPr>
        <w:t>за собой.</w:t>
      </w:r>
    </w:p>
    <w:p w:rsidR="00CB5FF1" w:rsidRPr="00391AD6" w:rsidRDefault="008452DA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3.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Опубликовать настоящее постановление в Вестнике </w:t>
      </w:r>
      <w:proofErr w:type="gramStart"/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>муниципальных</w:t>
      </w:r>
      <w:proofErr w:type="gramEnd"/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 xml:space="preserve"> правовых актов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CB5FF1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391AD6" w:rsidRPr="00391AD6" w:rsidTr="008674E1">
        <w:tc>
          <w:tcPr>
            <w:tcW w:w="3115" w:type="dxa"/>
          </w:tcPr>
          <w:p w:rsidR="001A3815" w:rsidRPr="00391AD6" w:rsidRDefault="001A3815" w:rsidP="0000233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Глава </w:t>
            </w:r>
            <w:r w:rsidR="00002338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391AD6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115" w:type="dxa"/>
          </w:tcPr>
          <w:p w:rsidR="001A3815" w:rsidRPr="00391AD6" w:rsidRDefault="001A3815" w:rsidP="00391AD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:rsidR="001A3815" w:rsidRPr="00391AD6" w:rsidRDefault="00002338" w:rsidP="008674E1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Г.В.Радченко</w:t>
            </w:r>
          </w:p>
        </w:tc>
      </w:tr>
    </w:tbl>
    <w:p w:rsidR="001A3815" w:rsidRPr="00391AD6" w:rsidRDefault="001A3815" w:rsidP="00391AD6">
      <w:pPr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br w:type="page"/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Утвержден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постановлением администрации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от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16.06.2023 г.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№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>22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674E1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Порядок</w:t>
      </w:r>
    </w:p>
    <w:p w:rsidR="00133E77" w:rsidRPr="00391AD6" w:rsidRDefault="00133E77" w:rsidP="008674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муниципальных учреждений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I. Общие положения</w:t>
      </w:r>
    </w:p>
    <w:p w:rsidR="001E63B6" w:rsidRDefault="001E63B6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1. Настоящий Порядок определяет механизм реализации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деятельностью муниципальных учреждений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(далее - учреждения).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2.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 учреждений осуществляется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главой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в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его полномочиями и 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3. Контрольные мероприятия включают в себя плановые (внеплановые)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документарные проверки и (или) плановые (внеплановые) выездные</w:t>
      </w:r>
      <w:r w:rsidR="001E63B6" w:rsidRPr="001E63B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проверки.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II. Основные направления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за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деятельностью</w:t>
      </w:r>
      <w:r w:rsidR="001A3815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учреждений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</w:p>
    <w:p w:rsidR="001A3815" w:rsidRPr="00391AD6" w:rsidRDefault="001A3815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4. Контроль за деятельностью учреждений осуществляется по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следующим основным направлениям: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за финансовой деятельностью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за использованием имущества, переданного учреждению на праве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3) за выполнением муниципального задания;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4) за соответствием деятельности учреждения целям, предусмотренным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учредительными документами;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5) за исполнением законодательства Российской Федерации,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Воронежской области 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нормативных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правовых актов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поселения.</w:t>
      </w:r>
    </w:p>
    <w:p w:rsidR="008A0857" w:rsidRPr="00391AD6" w:rsidRDefault="008A085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III. Контроль за финансовой деятельностью учреждения</w:t>
      </w:r>
    </w:p>
    <w:p w:rsidR="00F46832" w:rsidRDefault="00F46832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5. Контроль за финансовой деятельностью учреждений представляет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собой систему обязательных контрольных действий в части проверки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законности, обоснованности, экономической эффективности и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целесообразности использования средств местного бюджета за определенный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период времени.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6. Контроль за финансовой деятельностью учреждения включает 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обоснованностью и целевым использованием средств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местного бюджета;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порядка осуществления приносящей доход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деятельности, предельных цен (тарифов) на оплату оказываемых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 xml:space="preserve">муниципальных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услуг (выполняемых работ);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правильностью ведения бухгалтерского (бюджетного)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учета и составлением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контроль за выполнением плановых (прогнозных) показателей</w:t>
      </w:r>
      <w:r w:rsidR="008A0857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результатов деятельности, анализ причин отклонения фактических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показателей результатов деятельности от плановых (прогнозных);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соблюдением требований, установленных бюджетным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законодательством при размещении заказов на поставки товаров, выполнение</w:t>
      </w:r>
      <w:r w:rsidR="00F46832" w:rsidRPr="00F46832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работ, оказание услуг для государственных нужд;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состоянием дебиторской и кредиторской задолженностей.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7. Финансовый контроль учреждения осуществляется </w:t>
      </w:r>
      <w:r w:rsidR="0071557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="00B11EA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главными распорядителями средств местного бюджета (далее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- главные распорядители) в соответствии с бюджетным законодательством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 и нормативными правовыми актами, регулирующими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бюджетные правоотношения.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8. Контрольные действия могут проводиться сплошным либо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выборочным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9. Сплошной способ заключается в проведении контрольного действия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отношении всей совокупности финансовых, бухгалтерских, отчетных 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иных документов, относящихся к одному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10. Выборочный способ заключается в проведении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в отношении части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одному вопросу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11. Решение об использовании сплошного или выборочного способа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проведения контрольных действий по каждому вопросу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 принимает руководитель контрольной группы (работник,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проводящий проверку) исходя из содержания вопроса контрольного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мероприятия, объема финансовых, бухгалтерских, отчетных и иных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документов, относящихся к этому вопросу, состояния бухгалтерского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(бюджетного) учета, срока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12. Контрольные действия в отношении операций с денежными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средствами, а также расчетных операций проводятся сплошным способом.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13. Контроль за финансовой деятельностью осуществляется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следующей последовательности: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планирование контрольных мероприятий;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подготовка к проведению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проведение контрольного мероприятия, оформление его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 за своевременностью и полнотой устранения нарушений в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деятельности проверенных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14. Планирование контрольной деятельности осуществляется путем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составления</w:t>
      </w:r>
      <w:r w:rsidR="007136D6" w:rsidRP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7136D6">
        <w:rPr>
          <w:rFonts w:ascii="Arial" w:hAnsi="Arial" w:cs="Arial"/>
          <w:iCs/>
          <w:color w:val="000000" w:themeColor="text1"/>
          <w:sz w:val="24"/>
          <w:szCs w:val="24"/>
        </w:rPr>
        <w:t xml:space="preserve">специалистами муниципальных учреждений Кантемировского муниципального района в соответствии с заключенными соглашениями о передаче полномочий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утверждения главой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8C663D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плана на календарный год.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15. План контрольной деятельности представляет собой перечень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контрольных мероприятий, которые планируется осуществить в следующем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календарном году.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16. Контроль за исполнением плана контрольной деятельности</w:t>
      </w:r>
      <w:r w:rsidR="00113E3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>осуществляю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</w:t>
      </w:r>
      <w:r w:rsidR="000F7FC8">
        <w:rPr>
          <w:rFonts w:ascii="Arial" w:hAnsi="Arial" w:cs="Arial"/>
          <w:iCs/>
          <w:color w:val="000000" w:themeColor="text1"/>
          <w:sz w:val="24"/>
          <w:szCs w:val="24"/>
        </w:rPr>
        <w:t xml:space="preserve"> специалисты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17. В отношении учреждения плановый контроль за финансовой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деятельностью проводится один раз в два года (за исключением проведения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проверки устранения нарушений, выявленных ранее проведенным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контрольным мероприятием), но не реже одного раза в три года.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18. Внеплановые контрольные мероприятия проводятся</w:t>
      </w:r>
      <w:r w:rsidR="00055C84" w:rsidRPr="00055C8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55C84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главными распорядителями в случае получения от органов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государственной и муниципальной власти, юридических лиц и граждан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информации о наличии признаков нарушений бюджетного законодательства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19. При подготовке контрольного мероприятия составляется программа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мероприятия, содержащая: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тему 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наименование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перечень основных вопросов, подлежащих изучению в ходе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контрольного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сроки проведения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Контрольные мероприятия осуществляются на основании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распоряжения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главы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которым утверждается состав контрольной группы.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20. В ходе контрольного мероприятия проводятся контрольные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по проверке: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учредительных, регистрационных, плановых, бухгалтерских, отчетных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 других документов (по форме и содержанию);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полноты, своевременности и правильности отражения совершенных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операций в бухгалтерском (бюджетном) учете и бухгалтерской</w:t>
      </w:r>
      <w:r w:rsidR="00574F89"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отчетности, в том числе путем сопоставления записей 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учетных регистрах с первичными учетными документами, показателей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бухгалтерской (бюджетной) отчетности с данными аналитического учета;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фактического наличия, сохранности и правильности использования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материальных ценностей, находящихся в собственности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в том числе денежных средств и ценных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бумаг, достоверности расчетов, объемов поставленных товаров,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выполненных работ и оказанных услуг, операций по формированию затрат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финансовых результатов;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состояния бухгалтерского (бюджетного) учета и бухгалтерской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(бюджетной) отчетности учреждения;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принятых учреждением мер по устранению нарушений, возмещению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материального ущерба, привлечению к ответственности виновных лиц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результатам предыдущей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21. Проведение контрольного мероприятия подлежит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документированию. Документация подлежит хранению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требованиями законодательства Российской Федерации.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22. По результатам контрольного мероприятия составляется акт в двух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экземплярах: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органа, осуществляющего контрольные мероприятия;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23. Акт представляется лицу, назначившему контрольное мероприятие,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для рассмотрения и принятия соответствующих решений.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24. Руководителем учреждения в акт могут быть внесены замечания и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возражения. Руководитель контрольной группы (работник, проводящий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проверку) проверяет обоснованность замечаний и возражений и делает по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ним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соответствующее заключение, которое представляется лицу,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назначившему контрольное мероприятие.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25. Выявление нарушений действующего законодательства влечет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применение к виновным лицам мер ответственности в соответствии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действующим законодательством.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26. По результатам контрольной деятельности за очередной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календарный год составляется отчет.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27. Учреждение вправе обжаловать акт контрольного мероприятия, а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также действия (бездействие) контрольной группы в срок не более 30 дней с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даты подписания акта по контрольному мероприятию.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IV. Контроль за использованием имущества, переданного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учреждению на праве оперативного управления</w:t>
      </w:r>
    </w:p>
    <w:p w:rsidR="00574F89" w:rsidRDefault="00574F89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28. Контроль за использованием имущества, переданного учреждению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на праве оперативного управления, </w:t>
      </w:r>
      <w:r w:rsidRPr="00BF4FED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</w:t>
      </w:r>
      <w:r w:rsidR="00BF4FED" w:rsidRPr="00BF4FE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BF4FED">
        <w:rPr>
          <w:rFonts w:ascii="Arial" w:hAnsi="Arial" w:cs="Arial"/>
          <w:iCs/>
          <w:color w:val="000000" w:themeColor="text1"/>
          <w:sz w:val="24"/>
          <w:szCs w:val="24"/>
        </w:rPr>
        <w:t>специалистами муниципальных учреждений Кантемировского муниципального района в соответствии с заключенными соглашениями о передаче полномочий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29. Для проведения контрольных мероприятий администрацией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сельского поселения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формируется Комиссия, состав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которой утверждается распоряжением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 xml:space="preserve">главы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574F89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30. Председатель Комиссии уведомляет руководство проверяемого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о проведении контрольного мероприятия, если это не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противоречит целям контрольного мероприятия.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31. Контрольные мероприятия за использованием имущества,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переданного учреждению на праве оперативного управления,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осуществляются как в плановом, так и во внеплановом порядке.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32. Плановые проверки осуществляются в сроки и в соответствии с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планом проведения контрольных мероприятий, утверждаемым главой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33. Внеплановые проверки за соблюдением учреждениями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законодательства при использовании имущества, переданного учреждению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 праве оперативного управления, проводятся в случаях: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контроля исполнения предписаний об устранении выявленных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нарушений, отмеченных в актах проверок;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получения информации о выявленных случаях неэффективного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использования учреждением имущества в части необходимости изъятия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излишнего, неиспользуемого либо используемого не по назначению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 учреждения, а также путем отчуждения и (или) приобретения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имущества, переданного на праве оперативного управления учреждению.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34. Результаты контрольного мероприятия оформляются актом,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который подписывается членами Комиссии, проводящими контрольное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мероприятие в соответствии с распоряжением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главы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DC0CBA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и утверждается председателем Комиссии.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35. Акт составляется в 2 экземплярах: для администрации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и для проверяемого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36. Копии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утвержденных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актов направляются главе </w:t>
      </w:r>
      <w:r w:rsidR="00002338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37. При обнаружении в ходе проведения контрольного мероприятия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 действующего законодательства эти нарушения фиксируются в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акте с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указанием руководителю проверяемого учреждения устранить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выявленные нарушения в срок, определяемый администрацией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75BCF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38. Учреждение вправе обжаловать главе </w:t>
      </w:r>
      <w:r w:rsidR="00475BCF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 контрольного мероприятия, а также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действия (бездействие) членов Комиссии, проводящих контрольное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мероприятие, в срок не более 30 дней </w:t>
      </w:r>
      <w:proofErr w:type="gramStart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 даты подписания</w:t>
      </w:r>
      <w:proofErr w:type="gramEnd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 акта по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контрольному мероприятию.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2460F8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V. Контроль за выполнением муниципального задания</w:t>
      </w:r>
    </w:p>
    <w:p w:rsidR="002460F8" w:rsidRDefault="002460F8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39.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 xml:space="preserve">осуществляется главным распорядителем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в целях соблюдения учреждени</w:t>
      </w:r>
      <w:r w:rsidR="003020D4" w:rsidRPr="003020D4">
        <w:rPr>
          <w:rFonts w:ascii="Arial" w:hAnsi="Arial" w:cs="Arial"/>
          <w:iCs/>
          <w:color w:val="000000" w:themeColor="text1"/>
          <w:sz w:val="24"/>
          <w:szCs w:val="24"/>
        </w:rPr>
        <w:t>ем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требований к качеству,</w:t>
      </w:r>
      <w:r w:rsidR="002460F8" w:rsidRPr="003020D4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020D4">
        <w:rPr>
          <w:rFonts w:ascii="Arial" w:hAnsi="Arial" w:cs="Arial"/>
          <w:iCs/>
          <w:color w:val="000000" w:themeColor="text1"/>
          <w:sz w:val="24"/>
          <w:szCs w:val="24"/>
        </w:rPr>
        <w:t>объему, порядку оказания муниципальной услуги (работы).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40. Контроль за выполнением муниципального задания учреждением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осуществляется путем сбора и анализа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задания, а также в форме выездной проверки.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41. Главный распорядитель организует сбор отчетов о выполнении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42. Основанием для контроля за выполнением муниципального задания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в форме выездной проверки является: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нарушение обяз</w:t>
      </w:r>
      <w:bookmarkStart w:id="0" w:name="_GoBack"/>
      <w:bookmarkEnd w:id="0"/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ательных требований, выявленных в результате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планового мероприятия по контролю (контроль устранения выявленных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нарушений);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получение информации от юридических лиц, индивидуальных</w:t>
      </w:r>
      <w:r w:rsidR="002460F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предпринимателей, органов государственной и (или) муниципальной власти,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физических лиц, жалоб на несоответствие качества оказанных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параметрам муниципального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43. На основании анализа ежегодных отчетов о выполнении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и оценки качества оказанных учреждением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муниципальных услуг (выполненных работ) главный распорядитель вправе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принять в пределах своей компетенции меры по обеспечению выполнения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учреждением путем корректировки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муниципального задания с соответствующим изменением объемов</w:t>
      </w:r>
      <w:r w:rsidR="008B2805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финансирования.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44. Контроль за выполнением муниципального задания казенным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учреждением осуществляется только в случае принятия решения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уполномоченным органом о формировании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отношении казенного учреждения.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VI. Отчетность учреждений и оценка их деятельности</w:t>
      </w:r>
    </w:p>
    <w:p w:rsidR="00B05A31" w:rsidRDefault="00B05A31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45. Регулярное представление учреждением отчетности включает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себя: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1) Бухгалтерскую и бюджетную отчетность 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Бухгалтерская отчетность бюджетных и автономных учреждений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ежемесячно, ежеквартально и ежегодно в срок до 1 числа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месяца, следующего за отчетным.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2) Отчет о выполнении плана финансово-хозяйственной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Представляется в срок и в соответствии с требованиями,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установленными приказом Министерства финансов Российской Федерации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 25.03.2011 № 33н.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46. По результатам анализа информации, содержащейся в отчетах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учреждений, главный распорядитель производит оценку деятельности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учреждений.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47. Оценка деятельности учреждений проводится по следующим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критериям: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объем и качество выполнения учреждением муниципального задания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соответствии с плановыми и фактически достигнутыми показателями в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отчетном периоде;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замечаний проверяющих органов по результатам проверок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финансовой деятельности учреждения, по использованию муниципального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имущества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475BCF">
        <w:rPr>
          <w:rFonts w:ascii="Arial" w:hAnsi="Arial" w:cs="Arial"/>
          <w:iCs/>
          <w:color w:val="000000" w:themeColor="text1"/>
          <w:sz w:val="24"/>
          <w:szCs w:val="24"/>
        </w:rPr>
        <w:t xml:space="preserve">Титаревского 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>сельского поселения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, находящегося у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учреждения на праве оперативного управления;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нецелевого расходования бюджетных средств;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сроков и порядка предоставления бюджетной и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статистической отчетности;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превышения предельно допустимых размеров кредиторской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задолженности;</w:t>
      </w:r>
    </w:p>
    <w:p w:rsidR="00133E77" w:rsidRPr="00391AD6" w:rsidRDefault="00133E77" w:rsidP="0039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отсутствие убытков от совершения крупных сделок;</w:t>
      </w:r>
    </w:p>
    <w:p w:rsidR="006B557D" w:rsidRPr="00391AD6" w:rsidRDefault="00133E77" w:rsidP="00B05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91AD6">
        <w:rPr>
          <w:rFonts w:ascii="Arial" w:hAnsi="Arial" w:cs="Arial"/>
          <w:iCs/>
          <w:color w:val="000000" w:themeColor="text1"/>
          <w:sz w:val="24"/>
          <w:szCs w:val="24"/>
        </w:rPr>
        <w:t>соблюдение руководителем учреждения условий трудового договора с</w:t>
      </w:r>
      <w:r w:rsidR="00B05A31">
        <w:rPr>
          <w:rFonts w:ascii="Arial" w:hAnsi="Arial" w:cs="Arial"/>
          <w:iCs/>
          <w:color w:val="000000" w:themeColor="text1"/>
          <w:sz w:val="24"/>
          <w:szCs w:val="24"/>
        </w:rPr>
        <w:t xml:space="preserve"> учредителем.</w:t>
      </w:r>
    </w:p>
    <w:sectPr w:rsidR="006B557D" w:rsidRPr="00391AD6" w:rsidSect="00391AD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4D1"/>
    <w:rsid w:val="00002338"/>
    <w:rsid w:val="00055C84"/>
    <w:rsid w:val="00074880"/>
    <w:rsid w:val="00074EAC"/>
    <w:rsid w:val="000F7FC8"/>
    <w:rsid w:val="00113E34"/>
    <w:rsid w:val="00133E77"/>
    <w:rsid w:val="001A3815"/>
    <w:rsid w:val="001E63B6"/>
    <w:rsid w:val="00216274"/>
    <w:rsid w:val="002460F8"/>
    <w:rsid w:val="003020D4"/>
    <w:rsid w:val="00391AD6"/>
    <w:rsid w:val="00475BCF"/>
    <w:rsid w:val="00574F89"/>
    <w:rsid w:val="005C2E99"/>
    <w:rsid w:val="006073BB"/>
    <w:rsid w:val="006B2277"/>
    <w:rsid w:val="006B557D"/>
    <w:rsid w:val="007136D6"/>
    <w:rsid w:val="00715574"/>
    <w:rsid w:val="008452DA"/>
    <w:rsid w:val="00865915"/>
    <w:rsid w:val="008674E1"/>
    <w:rsid w:val="008A0857"/>
    <w:rsid w:val="008B2805"/>
    <w:rsid w:val="008C663D"/>
    <w:rsid w:val="00940E25"/>
    <w:rsid w:val="00B05A31"/>
    <w:rsid w:val="00B11EA5"/>
    <w:rsid w:val="00B4121D"/>
    <w:rsid w:val="00BC245E"/>
    <w:rsid w:val="00BF4FED"/>
    <w:rsid w:val="00CB5FF1"/>
    <w:rsid w:val="00CC5D2E"/>
    <w:rsid w:val="00D73B50"/>
    <w:rsid w:val="00DA64D1"/>
    <w:rsid w:val="00DC0CBA"/>
    <w:rsid w:val="00F4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3</cp:revision>
  <dcterms:created xsi:type="dcterms:W3CDTF">2023-06-16T12:57:00Z</dcterms:created>
  <dcterms:modified xsi:type="dcterms:W3CDTF">2023-06-19T07:12:00Z</dcterms:modified>
</cp:coreProperties>
</file>